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DA" w:rsidRPr="008D2CAA" w:rsidRDefault="00FD5DDA" w:rsidP="00FD5DDA">
      <w:pPr>
        <w:ind w:firstLine="708"/>
        <w:jc w:val="both"/>
        <w:rPr>
          <w:b/>
          <w:sz w:val="28"/>
          <w:szCs w:val="28"/>
        </w:rPr>
      </w:pPr>
      <w:r w:rsidRPr="008D2CAA">
        <w:rPr>
          <w:b/>
          <w:sz w:val="28"/>
          <w:szCs w:val="28"/>
        </w:rPr>
        <w:t>В воскресенье купил куртку, а дома, при повторной примерке понял, что она маловата. Возможен ли выход из сложившейся ситуации?</w:t>
      </w:r>
    </w:p>
    <w:p w:rsidR="00FD5DDA" w:rsidRPr="003115A3" w:rsidRDefault="00FD5DDA" w:rsidP="00FD5DDA">
      <w:pPr>
        <w:ind w:firstLine="708"/>
        <w:jc w:val="both"/>
        <w:rPr>
          <w:sz w:val="28"/>
          <w:szCs w:val="28"/>
        </w:rPr>
      </w:pPr>
    </w:p>
    <w:p w:rsidR="00FD5DDA" w:rsidRDefault="00FD5DDA" w:rsidP="00FD5DDA">
      <w:pPr>
        <w:jc w:val="both"/>
        <w:rPr>
          <w:sz w:val="28"/>
          <w:szCs w:val="28"/>
        </w:rPr>
      </w:pPr>
      <w:r w:rsidRPr="003115A3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ст. 25 Закона РФ «О защите прав  потребителей», п</w:t>
      </w:r>
      <w:r w:rsidRPr="003115A3">
        <w:rPr>
          <w:sz w:val="28"/>
          <w:szCs w:val="28"/>
        </w:rPr>
        <w:t xml:space="preserve">отребитель вправе обменять непродовольственный товар надлежащего качества на аналогичный товар, если указанный товар не подошел по форме, цвету, габаритам, фасону, расцветке, размеру или комплектации. </w:t>
      </w:r>
    </w:p>
    <w:p w:rsidR="00FD5DDA" w:rsidRPr="003115A3" w:rsidRDefault="00FD5DDA" w:rsidP="00FD5D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 для обмена установлены достаточно широкие, но в то же время их перечень является исчерпывающим (нельзя обменять товар, если он не нравится).</w:t>
      </w:r>
    </w:p>
    <w:p w:rsidR="00FD5DDA" w:rsidRDefault="00FD5DDA" w:rsidP="00FD5DDA">
      <w:pPr>
        <w:jc w:val="both"/>
        <w:rPr>
          <w:sz w:val="28"/>
          <w:szCs w:val="28"/>
        </w:rPr>
      </w:pPr>
      <w:r w:rsidRPr="003115A3">
        <w:rPr>
          <w:sz w:val="28"/>
          <w:szCs w:val="28"/>
        </w:rPr>
        <w:tab/>
        <w:t xml:space="preserve">Реализовать </w:t>
      </w:r>
      <w:r>
        <w:rPr>
          <w:sz w:val="28"/>
          <w:szCs w:val="28"/>
        </w:rPr>
        <w:t>названное</w:t>
      </w:r>
      <w:r w:rsidRPr="003115A3">
        <w:rPr>
          <w:sz w:val="28"/>
          <w:szCs w:val="28"/>
        </w:rPr>
        <w:t xml:space="preserve"> право можно при</w:t>
      </w:r>
      <w:r>
        <w:rPr>
          <w:sz w:val="28"/>
          <w:szCs w:val="28"/>
        </w:rPr>
        <w:t xml:space="preserve"> наличии следующих условий</w:t>
      </w:r>
      <w:r w:rsidRPr="003115A3">
        <w:rPr>
          <w:sz w:val="28"/>
          <w:szCs w:val="28"/>
        </w:rPr>
        <w:t xml:space="preserve">: обменять можно только непродовольственный, надлежащего качества товар в пределах 14 дней (не считая дня покупки), который не был в употреблении и сохранен его товарный вид, потребительские свойства, пломбы, фабричные ярлыки, товарный и кассовые чеки. </w:t>
      </w:r>
    </w:p>
    <w:p w:rsidR="00FD5DDA" w:rsidRPr="003115A3" w:rsidRDefault="00FD5DDA" w:rsidP="00FD5DDA">
      <w:pPr>
        <w:ind w:firstLine="708"/>
        <w:jc w:val="both"/>
        <w:rPr>
          <w:sz w:val="28"/>
          <w:szCs w:val="28"/>
        </w:rPr>
      </w:pPr>
      <w:r w:rsidRPr="003115A3">
        <w:rPr>
          <w:sz w:val="28"/>
          <w:szCs w:val="28"/>
        </w:rPr>
        <w:t>В случае  утраты  товарного или кассового чека</w:t>
      </w:r>
      <w:r>
        <w:rPr>
          <w:sz w:val="28"/>
          <w:szCs w:val="28"/>
        </w:rPr>
        <w:t xml:space="preserve">, </w:t>
      </w:r>
      <w:r w:rsidRPr="003115A3">
        <w:rPr>
          <w:sz w:val="28"/>
          <w:szCs w:val="28"/>
        </w:rPr>
        <w:t xml:space="preserve"> факт и условия покупки можно подтвердить свидетельскими показаниями. </w:t>
      </w:r>
    </w:p>
    <w:p w:rsidR="00FD5DDA" w:rsidRPr="003115A3" w:rsidRDefault="00FD5DDA" w:rsidP="00FD5DDA">
      <w:pPr>
        <w:jc w:val="both"/>
        <w:rPr>
          <w:sz w:val="28"/>
          <w:szCs w:val="28"/>
        </w:rPr>
      </w:pPr>
      <w:r w:rsidRPr="003115A3">
        <w:rPr>
          <w:sz w:val="28"/>
          <w:szCs w:val="28"/>
        </w:rPr>
        <w:tab/>
      </w:r>
      <w:r>
        <w:rPr>
          <w:sz w:val="28"/>
          <w:szCs w:val="28"/>
        </w:rPr>
        <w:t>Таким образом, е</w:t>
      </w:r>
      <w:r w:rsidRPr="003115A3">
        <w:rPr>
          <w:sz w:val="28"/>
          <w:szCs w:val="28"/>
        </w:rPr>
        <w:t xml:space="preserve">сли потребитель, купив куртку, надел ее и, пройдя несколько метров, </w:t>
      </w:r>
      <w:r>
        <w:rPr>
          <w:sz w:val="28"/>
          <w:szCs w:val="28"/>
        </w:rPr>
        <w:t xml:space="preserve"> </w:t>
      </w:r>
      <w:r w:rsidRPr="003115A3">
        <w:rPr>
          <w:sz w:val="28"/>
          <w:szCs w:val="28"/>
        </w:rPr>
        <w:t xml:space="preserve"> убедился, что она ему не подходит по размеру, воспользоваться правом на обмен этой куртки на другую куртку другого размера он не сможет, так как товар был в употреблении.</w:t>
      </w:r>
    </w:p>
    <w:p w:rsidR="00FD5DDA" w:rsidRPr="003115A3" w:rsidRDefault="00FD5DDA" w:rsidP="00FD5DDA">
      <w:pPr>
        <w:jc w:val="both"/>
        <w:rPr>
          <w:sz w:val="28"/>
          <w:szCs w:val="28"/>
        </w:rPr>
      </w:pPr>
      <w:r w:rsidRPr="003115A3">
        <w:rPr>
          <w:sz w:val="28"/>
          <w:szCs w:val="28"/>
        </w:rPr>
        <w:tab/>
        <w:t>Обменять можно не всякий непродовольственный товар. Перечень товаров, не подлежащих обмену и возврату при надлежащем качестве, утвержден Постановлением Правительства РФ и довольно обширен: технически сложные товары бытов</w:t>
      </w:r>
      <w:r>
        <w:rPr>
          <w:sz w:val="28"/>
          <w:szCs w:val="28"/>
        </w:rPr>
        <w:t>ого назначения</w:t>
      </w:r>
      <w:r w:rsidRPr="003115A3">
        <w:rPr>
          <w:sz w:val="28"/>
          <w:szCs w:val="28"/>
        </w:rPr>
        <w:t>, растения и животные, непериодические издания, газовое оборудование, лекарственные препараты и предметы личной гигиены, бытовая химия и косметика, белье, чулочно-носочные изделия и др.</w:t>
      </w:r>
    </w:p>
    <w:p w:rsidR="00FD5DDA" w:rsidRPr="003115A3" w:rsidRDefault="00FD5DDA" w:rsidP="00FD5DDA">
      <w:pPr>
        <w:jc w:val="both"/>
        <w:rPr>
          <w:sz w:val="28"/>
          <w:szCs w:val="28"/>
        </w:rPr>
      </w:pPr>
      <w:r w:rsidRPr="003115A3">
        <w:rPr>
          <w:sz w:val="28"/>
          <w:szCs w:val="28"/>
        </w:rPr>
        <w:tab/>
        <w:t>Если на день обращения аналог</w:t>
      </w:r>
      <w:r>
        <w:rPr>
          <w:sz w:val="28"/>
          <w:szCs w:val="28"/>
        </w:rPr>
        <w:t>ичный товар на обмен отсутствует,</w:t>
      </w:r>
      <w:r w:rsidRPr="003115A3">
        <w:rPr>
          <w:sz w:val="28"/>
          <w:szCs w:val="28"/>
        </w:rPr>
        <w:t xml:space="preserve"> потребитель вправе потребовать возврат денег. Требование об обмене или возврате денег должно быть удовлетворено в 3-дневный срок.</w:t>
      </w:r>
    </w:p>
    <w:p w:rsidR="00FD5DDA" w:rsidRPr="003115A3" w:rsidRDefault="00FD5DDA" w:rsidP="00FD5DDA">
      <w:pPr>
        <w:jc w:val="both"/>
        <w:rPr>
          <w:sz w:val="28"/>
          <w:szCs w:val="28"/>
        </w:rPr>
      </w:pPr>
      <w:r w:rsidRPr="003115A3">
        <w:rPr>
          <w:sz w:val="28"/>
          <w:szCs w:val="28"/>
        </w:rPr>
        <w:tab/>
        <w:t>Если в результате обмена товара надлежащего качества или расторжения договора купли-продажи у потребителя возникли убытки (например, по доставке, содержанию вещи), продавец эти убытки не возмещает, так как они не связаны с нарушением договора.</w:t>
      </w:r>
    </w:p>
    <w:p w:rsidR="004123DA" w:rsidRDefault="004123DA">
      <w:bookmarkStart w:id="0" w:name="_GoBack"/>
      <w:bookmarkEnd w:id="0"/>
    </w:p>
    <w:sectPr w:rsidR="0041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DA"/>
    <w:rsid w:val="004123DA"/>
    <w:rsid w:val="00682A6A"/>
    <w:rsid w:val="00FD5DDA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96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6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96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96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96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96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6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96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96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0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0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0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096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E0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096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E0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0966"/>
    <w:rPr>
      <w:b/>
      <w:bCs/>
    </w:rPr>
  </w:style>
  <w:style w:type="character" w:styleId="a8">
    <w:name w:val="Emphasis"/>
    <w:uiPriority w:val="20"/>
    <w:qFormat/>
    <w:rsid w:val="00FE0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E09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FE0966"/>
  </w:style>
  <w:style w:type="paragraph" w:styleId="ab">
    <w:name w:val="List Paragraph"/>
    <w:basedOn w:val="a"/>
    <w:uiPriority w:val="34"/>
    <w:qFormat/>
    <w:rsid w:val="00FE09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E096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E096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E096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E0966"/>
    <w:rPr>
      <w:b/>
      <w:bCs/>
      <w:i/>
      <w:iCs/>
    </w:rPr>
  </w:style>
  <w:style w:type="character" w:styleId="ae">
    <w:name w:val="Subtle Emphasis"/>
    <w:uiPriority w:val="19"/>
    <w:qFormat/>
    <w:rsid w:val="00FE0966"/>
    <w:rPr>
      <w:i/>
      <w:iCs/>
    </w:rPr>
  </w:style>
  <w:style w:type="character" w:styleId="af">
    <w:name w:val="Intense Emphasis"/>
    <w:uiPriority w:val="21"/>
    <w:qFormat/>
    <w:rsid w:val="00FE0966"/>
    <w:rPr>
      <w:b/>
      <w:bCs/>
    </w:rPr>
  </w:style>
  <w:style w:type="character" w:styleId="af0">
    <w:name w:val="Subtle Reference"/>
    <w:uiPriority w:val="31"/>
    <w:qFormat/>
    <w:rsid w:val="00FE0966"/>
    <w:rPr>
      <w:smallCaps/>
    </w:rPr>
  </w:style>
  <w:style w:type="character" w:styleId="af1">
    <w:name w:val="Intense Reference"/>
    <w:uiPriority w:val="32"/>
    <w:qFormat/>
    <w:rsid w:val="00FE0966"/>
    <w:rPr>
      <w:smallCaps/>
      <w:spacing w:val="5"/>
      <w:u w:val="single"/>
    </w:rPr>
  </w:style>
  <w:style w:type="character" w:styleId="af2">
    <w:name w:val="Book Title"/>
    <w:uiPriority w:val="33"/>
    <w:qFormat/>
    <w:rsid w:val="00FE096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96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96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6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96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96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96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96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6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96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96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0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0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0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096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E0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096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E0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0966"/>
    <w:rPr>
      <w:b/>
      <w:bCs/>
    </w:rPr>
  </w:style>
  <w:style w:type="character" w:styleId="a8">
    <w:name w:val="Emphasis"/>
    <w:uiPriority w:val="20"/>
    <w:qFormat/>
    <w:rsid w:val="00FE0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E09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FE0966"/>
  </w:style>
  <w:style w:type="paragraph" w:styleId="ab">
    <w:name w:val="List Paragraph"/>
    <w:basedOn w:val="a"/>
    <w:uiPriority w:val="34"/>
    <w:qFormat/>
    <w:rsid w:val="00FE09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E096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E096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E096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E0966"/>
    <w:rPr>
      <w:b/>
      <w:bCs/>
      <w:i/>
      <w:iCs/>
    </w:rPr>
  </w:style>
  <w:style w:type="character" w:styleId="ae">
    <w:name w:val="Subtle Emphasis"/>
    <w:uiPriority w:val="19"/>
    <w:qFormat/>
    <w:rsid w:val="00FE0966"/>
    <w:rPr>
      <w:i/>
      <w:iCs/>
    </w:rPr>
  </w:style>
  <w:style w:type="character" w:styleId="af">
    <w:name w:val="Intense Emphasis"/>
    <w:uiPriority w:val="21"/>
    <w:qFormat/>
    <w:rsid w:val="00FE0966"/>
    <w:rPr>
      <w:b/>
      <w:bCs/>
    </w:rPr>
  </w:style>
  <w:style w:type="character" w:styleId="af0">
    <w:name w:val="Subtle Reference"/>
    <w:uiPriority w:val="31"/>
    <w:qFormat/>
    <w:rsid w:val="00FE0966"/>
    <w:rPr>
      <w:smallCaps/>
    </w:rPr>
  </w:style>
  <w:style w:type="character" w:styleId="af1">
    <w:name w:val="Intense Reference"/>
    <w:uiPriority w:val="32"/>
    <w:qFormat/>
    <w:rsid w:val="00FE0966"/>
    <w:rPr>
      <w:smallCaps/>
      <w:spacing w:val="5"/>
      <w:u w:val="single"/>
    </w:rPr>
  </w:style>
  <w:style w:type="character" w:styleId="af2">
    <w:name w:val="Book Title"/>
    <w:uiPriority w:val="33"/>
    <w:qFormat/>
    <w:rsid w:val="00FE096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96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Болдарева Светлана Сергеевна</dc:creator>
  <cp:lastModifiedBy>Болдарева Светлана Сергеевна</cp:lastModifiedBy>
  <cp:revision>1</cp:revision>
  <dcterms:created xsi:type="dcterms:W3CDTF">2020-06-23T12:12:00Z</dcterms:created>
  <dcterms:modified xsi:type="dcterms:W3CDTF">2020-06-23T12:12:00Z</dcterms:modified>
</cp:coreProperties>
</file>